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su immobili sottoposti a vincolo idrogeologico - CILA/SCIA piu' Autorizzazioni (la mappatura si riferisce alla CILA)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CILA/SCIA e nel rilascio dell'autorizzazione per interventi su immobili sottoposti a vincolo idrogeologico.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Gli interventi sottoposti a Dia, SCIA o Cila, infatti, devono ottenere preventivamente atti o pareri relat</w:t>
            </w:r>
            <w:r>
              <w:rPr>
                <w:rFonts w:ascii="Arial" w:hAnsi="Arial"/>
              </w:rPr>
              <w:t>ivi all'assetto idrogeologico laddove previsto dalla normativa applicabile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152/2006- Normativa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50137D" w:rsidRDefault="0006332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mercoledì, </w:t>
            </w:r>
            <w:r>
              <w:rPr>
                <w:rFonts w:ascii="Arial" w:hAnsi="Arial"/>
              </w:rPr>
              <w:t>venerdi'10</w:t>
            </w:r>
            <w:r>
              <w:rPr>
                <w:rFonts w:ascii="Arial" w:hAnsi="Arial"/>
              </w:rPr>
              <w:t>.00 - 13.00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6332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- 60 giorni per il rilascio dell'autorizzazione.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CILA - Dal momento che la comunicazione non necessita di autorizzazione, i lavori possono iniziare immediatamente dopo la sua presentazione.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L'inizio dei lavori e la conclusione degli stessi deve obbligatoriamente avvenire entro tre anni dalla presentazion</w:t>
            </w:r>
            <w:r>
              <w:rPr>
                <w:rFonts w:ascii="Arial" w:hAnsi="Arial"/>
              </w:rPr>
              <w:t>e della comunicazione.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-Non e' previso alcun provvedimento conclusivo e non si forma il silenzio, residua il controllo in capo all'amministrazione, con riferimento alla CILA.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Tuttavia, la CILA non assume efficacia siano all'autorizzazione richiesta.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>- Provvedimento espresso e motivato: autorizzazione idrogeologica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50137D" w:rsidRDefault="00063326">
            <w:pPr>
              <w:jc w:val="both"/>
            </w:pPr>
            <w:r>
              <w:rPr>
                <w:rFonts w:ascii="Arial" w:hAnsi="Arial"/>
              </w:rPr>
              <w:t xml:space="preserve">- Tutela giurisdizionale: ricorso </w:t>
            </w:r>
            <w:r>
              <w:rPr>
                <w:rFonts w:ascii="Arial" w:hAnsi="Arial"/>
              </w:rPr>
              <w:t>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63326" w:rsidP="000633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63326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137D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2026-06-13T08:05:00Z</dcterms:modified>
</cp:coreProperties>
</file>